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866"/>
      </w:tblGrid>
      <w:tr>
        <w:trPr>
          <w:cantSplit/>
        </w:trPr>
        <w:tc>
          <w:tcPr>
            <w:tcW w:type="dxa" w:w="9866"/>
            <w:shd w:fill="4A2545" w:color="auto" w:val="clear"/>
            <w:tcMar>
              <w:top w:type="dxa" w:w="260"/>
              <w:left w:type="dxa" w:w="320"/>
              <w:bottom w:type="dxa" w:w="260"/>
              <w:right w:type="dxa" w:w="320"/>
            </w:tcMar>
          </w:tcPr>
          <w:p>
            <w:pPr>
              <w:spacing w:after="80"/>
            </w:pPr>
            <w:r>
              <w:rPr>
                <w:b/>
                <w:bCs/>
                <w:color w:val="D9CCEB"/>
                <w:spacing w:val="20"/>
                <w:sz w:val="18"/>
                <w:szCs w:val="18"/>
              </w:rPr>
              <w:t xml:space="preserve">GCSE ENGLISH</w:t>
            </w:r>
          </w:p>
          <w:p>
            <w:pPr>
              <w:spacing w:after="60"/>
            </w:pPr>
            <w:r>
              <w:rPr>
                <w:b/>
                <w:bCs/>
                <w:color w:val="FFFFFF"/>
                <w:sz w:val="48"/>
                <w:szCs w:val="48"/>
              </w:rPr>
              <w:t xml:space="preserve">Year 11 countdown</w:t>
            </w:r>
          </w:p>
          <w:p>
            <w:pPr>
              <w:spacing w:after="0"/>
            </w:pPr>
            <w:r>
              <w:rPr>
                <w:color w:val="FFFFFF"/>
                <w:sz w:val="24"/>
                <w:szCs w:val="24"/>
              </w:rPr>
              <w:t xml:space="preserve">Twelve weeks of focused revision for AQA GCSE English Literature and English Language</w:t>
            </w:r>
          </w:p>
        </w:tc>
      </w:tr>
    </w:tbl>
    <w:p>
      <w:pPr>
        <w:pStyle w:val="Heading2"/>
      </w:pPr>
      <w:r>
        <w:t xml:space="preserve">How it works</w:t>
      </w:r>
    </w:p>
    <w:p>
      <w:r>
        <w:t xml:space="preserve">Start twelve weeks before your first English exam and count down. Each week has one focus. Aim for about 30 minutes a day, five days a week:</w:t>
      </w:r>
    </w:p>
    <w:tbl>
      <w:tblPr>
        <w:tblW w:type="dxa" w:w="9866"/>
        <w:tblBorders>
          <w:top w:val="single" w:color="DDD3E6" w:sz="4"/>
          <w:left w:val="single" w:color="DDD3E6" w:sz="4"/>
          <w:bottom w:val="single" w:color="DDD3E6" w:sz="4"/>
          <w:right w:val="single" w:color="DDD3E6" w:sz="4"/>
          <w:insideH w:val="single" w:color="DDD3E6" w:sz="4"/>
          <w:insideV w:val="single" w:color="DDD3E6" w:sz="4"/>
        </w:tblBorders>
        <w:tblLayout w:type="fixed"/>
      </w:tblPr>
      <w:tblGrid>
        <w:gridCol w:w="2300"/>
        <w:gridCol w:w="7566"/>
      </w:tblGrid>
      <w:tr>
        <w:trPr>
          <w:cantSplit/>
        </w:trPr>
        <w:tc>
          <w:tcPr>
            <w:tcW w:type="dxa" w:w="2300"/>
            <w:shd w:fill="F3F0F8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6E44A8"/>
                <w:sz w:val="21"/>
                <w:szCs w:val="21"/>
              </w:rPr>
              <w:t xml:space="preserve">Days 1 and 2: retrieve</w:t>
            </w:r>
          </w:p>
        </w:tc>
        <w:tc>
          <w:tcPr>
            <w:tcW w:type="dxa" w:w="7566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Write down everything you remember about the focus, then check your notes and fill the gaps in a different colour. Test yourself on quotations.</w:t>
            </w:r>
          </w:p>
        </w:tc>
      </w:tr>
      <w:tr>
        <w:trPr>
          <w:cantSplit/>
        </w:trPr>
        <w:tc>
          <w:tcPr>
            <w:tcW w:type="dxa" w:w="2300"/>
            <w:shd w:fill="F3F0F8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6E44A8"/>
                <w:sz w:val="21"/>
                <w:szCs w:val="21"/>
              </w:rPr>
              <w:t xml:space="preserve">Days 3 and 4: practise</w:t>
            </w:r>
          </w:p>
        </w:tc>
        <w:tc>
          <w:tcPr>
            <w:tcW w:type="dxa" w:w="7566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Plan an answer to an exam-style question in ten minutes, then write two What–How–Why paragraphs from your plan.</w:t>
            </w:r>
          </w:p>
        </w:tc>
      </w:tr>
      <w:tr>
        <w:trPr>
          <w:cantSplit/>
        </w:trPr>
        <w:tc>
          <w:tcPr>
            <w:tcW w:type="dxa" w:w="2300"/>
            <w:shd w:fill="F3F0F8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6E44A8"/>
                <w:sz w:val="21"/>
                <w:szCs w:val="21"/>
              </w:rPr>
              <w:t xml:space="preserve">Day 5: time yourself</w:t>
            </w:r>
          </w:p>
        </w:tc>
        <w:tc>
          <w:tcPr>
            <w:tcW w:type="dxa" w:w="7566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Write one full answer in exam time, then mark it against the level descriptors or ask your teacher for feedback.</w:t>
            </w:r>
          </w:p>
        </w:tc>
      </w:tr>
    </w:tbl>
    <w:p>
      <w:pPr>
        <w:pStyle w:val="Heading2"/>
      </w:pPr>
      <w:r>
        <w:t xml:space="preserve">Your twelve weeks</w:t>
      </w:r>
    </w:p>
    <w:tbl>
      <w:tblPr>
        <w:tblW w:type="dxa" w:w="9866"/>
        <w:tblBorders>
          <w:top w:val="single" w:color="DDD3E6" w:sz="4"/>
          <w:left w:val="single" w:color="DDD3E6" w:sz="4"/>
          <w:bottom w:val="single" w:color="DDD3E6" w:sz="4"/>
          <w:right w:val="single" w:color="DDD3E6" w:sz="4"/>
          <w:insideH w:val="single" w:color="DDD3E6" w:sz="4"/>
          <w:insideV w:val="single" w:color="DDD3E6" w:sz="4"/>
        </w:tblBorders>
        <w:tblLayout w:type="fixed"/>
      </w:tblPr>
      <w:tblGrid>
        <w:gridCol w:w="800"/>
        <w:gridCol w:w="3300"/>
        <w:gridCol w:w="3866"/>
        <w:gridCol w:w="1900"/>
      </w:tblGrid>
      <w:tr>
        <w:trPr>
          <w:cantSplit/>
          <w:tblHeader/>
        </w:trPr>
        <w:tc>
          <w:tcPr>
            <w:tcW w:type="dxa" w:w="800"/>
            <w:shd w:fill="4A2545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Week</w:t>
            </w:r>
          </w:p>
        </w:tc>
        <w:tc>
          <w:tcPr>
            <w:tcW w:type="dxa" w:w="3300"/>
            <w:shd w:fill="4A2545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Focus</w:t>
            </w:r>
          </w:p>
        </w:tc>
        <w:tc>
          <w:tcPr>
            <w:tcW w:type="dxa" w:w="3866"/>
            <w:shd w:fill="4A2545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This week</w:t>
            </w:r>
          </w:p>
        </w:tc>
        <w:tc>
          <w:tcPr>
            <w:tcW w:type="dxa" w:w="1900"/>
            <w:shd w:fill="4A2545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50"/>
              <w:left w:type="dxa" w:w="120"/>
              <w:bottom w:type="dxa" w:w="5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6E44A8"/>
                <w:sz w:val="24"/>
                <w:szCs w:val="24"/>
              </w:rPr>
              <w:t xml:space="preserve">12</w:t>
            </w:r>
          </w:p>
        </w:tc>
        <w:tc>
          <w:tcPr>
            <w:tcW w:type="dxa" w:w="3300"/>
            <w:tcMar>
              <w:top w:type="dxa" w:w="50"/>
              <w:left w:type="dxa" w:w="120"/>
              <w:bottom w:type="dxa" w:w="5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Macbeth: plot and characters</w:t>
            </w:r>
          </w:p>
        </w:tc>
        <w:tc>
          <w:tcPr>
            <w:tcW w:type="dxa" w:w="3866"/>
            <w:tcMar>
              <w:top w:type="dxa" w:w="50"/>
              <w:left w:type="dxa" w:w="120"/>
              <w:bottom w:type="dxa" w:w="5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Retell the play act by act from memory; one character profile a day.</w:t>
            </w:r>
          </w:p>
        </w:tc>
        <w:tc>
          <w:tcPr>
            <w:tcW w:type="dxa" w:w="1900"/>
            <w:tcMar>
              <w:top w:type="dxa" w:w="50"/>
              <w:left w:type="dxa" w:w="120"/>
              <w:bottom w:type="dxa" w:w="5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sz w:val="20"/>
                <w:szCs w:val="20"/>
                <w:bdr w:val="single" w:color="6E44A8" w:sz="8" w:space="0"/>
              </w:rPr>
              <w:t xml:space="preserve">    </w:t>
            </w:r>
            <w:r>
              <w:rPr>
                <w:sz w:val="22"/>
                <w:szCs w:val="22"/>
              </w:rPr>
              <w:t xml:space="preserve">   </w:t>
            </w:r>
            <w:r>
              <w:rPr>
                <w:sz w:val="20"/>
                <w:szCs w:val="20"/>
                <w:bdr w:val="single" w:color="6E44A8" w:sz="8" w:space="0"/>
              </w:rPr>
              <w:t xml:space="preserve">    </w:t>
            </w:r>
            <w:r>
              <w:rPr>
                <w:sz w:val="22"/>
                <w:szCs w:val="22"/>
              </w:rPr>
              <w:t xml:space="preserve">   </w:t>
            </w:r>
            <w:r>
              <w:rPr>
                <w:sz w:val="20"/>
                <w:szCs w:val="20"/>
                <w:bdr w:val="single" w:color="6E44A8" w:sz="8" w:space="0"/>
              </w:rPr>
              <w:t xml:space="preserve">    </w:t>
            </w:r>
            <w:r>
              <w:rPr>
                <w:sz w:val="22"/>
                <w:szCs w:val="22"/>
              </w:rPr>
              <w:t xml:space="preserve">   </w:t>
            </w:r>
            <w:r>
              <w:rPr>
                <w:sz w:val="20"/>
                <w:szCs w:val="20"/>
                <w:bdr w:val="single" w:color="6E44A8" w:sz="8" w:space="0"/>
              </w:rPr>
              <w:t xml:space="preserve">    </w:t>
            </w:r>
            <w:r>
              <w:rPr>
                <w:sz w:val="22"/>
                <w:szCs w:val="22"/>
              </w:rPr>
              <w:t xml:space="preserve">   </w:t>
            </w:r>
            <w:r>
              <w:rPr>
                <w:sz w:val="20"/>
                <w:szCs w:val="20"/>
                <w:bdr w:val="single" w:color="6E44A8" w:sz="8" w:space="0"/>
              </w:rPr>
              <w:t xml:space="preserve">    </w:t>
            </w:r>
            <w:r>
              <w:rPr>
                <w:sz w:val="22"/>
                <w:szCs w:val="22"/>
              </w:rPr>
              <w:t xml:space="preserve">   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50"/>
              <w:left w:type="dxa" w:w="120"/>
              <w:bottom w:type="dxa" w:w="5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6E44A8"/>
                <w:sz w:val="24"/>
                <w:szCs w:val="24"/>
              </w:rPr>
              <w:t xml:space="preserve">11</w:t>
            </w:r>
          </w:p>
        </w:tc>
        <w:tc>
          <w:tcPr>
            <w:tcW w:type="dxa" w:w="3300"/>
            <w:tcMar>
              <w:top w:type="dxa" w:w="50"/>
              <w:left w:type="dxa" w:w="120"/>
              <w:bottom w:type="dxa" w:w="5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Macbeth: themes, context and quotations</w:t>
            </w:r>
          </w:p>
        </w:tc>
        <w:tc>
          <w:tcPr>
            <w:tcW w:type="dxa" w:w="3866"/>
            <w:tcMar>
              <w:top w:type="dxa" w:w="50"/>
              <w:left w:type="dxa" w:w="120"/>
              <w:bottom w:type="dxa" w:w="5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Learn ten quotations; link each one to a theme and to Jacobean context.</w:t>
            </w:r>
          </w:p>
        </w:tc>
        <w:tc>
          <w:tcPr>
            <w:tcW w:type="dxa" w:w="1900"/>
            <w:tcMar>
              <w:top w:type="dxa" w:w="50"/>
              <w:left w:type="dxa" w:w="120"/>
              <w:bottom w:type="dxa" w:w="5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sz w:val="20"/>
                <w:szCs w:val="20"/>
                <w:bdr w:val="single" w:color="6E44A8" w:sz="8" w:space="0"/>
              </w:rPr>
              <w:t xml:space="preserve">    </w:t>
            </w:r>
            <w:r>
              <w:rPr>
                <w:sz w:val="22"/>
                <w:szCs w:val="22"/>
              </w:rPr>
              <w:t xml:space="preserve">   </w:t>
            </w:r>
            <w:r>
              <w:rPr>
                <w:sz w:val="20"/>
                <w:szCs w:val="20"/>
                <w:bdr w:val="single" w:color="6E44A8" w:sz="8" w:space="0"/>
              </w:rPr>
              <w:t xml:space="preserve">    </w:t>
            </w:r>
            <w:r>
              <w:rPr>
                <w:sz w:val="22"/>
                <w:szCs w:val="22"/>
              </w:rPr>
              <w:t xml:space="preserve">   </w:t>
            </w:r>
            <w:r>
              <w:rPr>
                <w:sz w:val="20"/>
                <w:szCs w:val="20"/>
                <w:bdr w:val="single" w:color="6E44A8" w:sz="8" w:space="0"/>
              </w:rPr>
              <w:t xml:space="preserve">    </w:t>
            </w:r>
            <w:r>
              <w:rPr>
                <w:sz w:val="22"/>
                <w:szCs w:val="22"/>
              </w:rPr>
              <w:t xml:space="preserve">   </w:t>
            </w:r>
            <w:r>
              <w:rPr>
                <w:sz w:val="20"/>
                <w:szCs w:val="20"/>
                <w:bdr w:val="single" w:color="6E44A8" w:sz="8" w:space="0"/>
              </w:rPr>
              <w:t xml:space="preserve">    </w:t>
            </w:r>
            <w:r>
              <w:rPr>
                <w:sz w:val="22"/>
                <w:szCs w:val="22"/>
              </w:rPr>
              <w:t xml:space="preserve">   </w:t>
            </w:r>
            <w:r>
              <w:rPr>
                <w:sz w:val="20"/>
                <w:szCs w:val="20"/>
                <w:bdr w:val="single" w:color="6E44A8" w:sz="8" w:space="0"/>
              </w:rPr>
              <w:t xml:space="preserve">    </w:t>
            </w:r>
            <w:r>
              <w:rPr>
                <w:sz w:val="22"/>
                <w:szCs w:val="22"/>
              </w:rPr>
              <w:t xml:space="preserve">   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50"/>
              <w:left w:type="dxa" w:w="120"/>
              <w:bottom w:type="dxa" w:w="5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6E44A8"/>
                <w:sz w:val="24"/>
                <w:szCs w:val="24"/>
              </w:rPr>
              <w:t xml:space="preserve">10</w:t>
            </w:r>
          </w:p>
        </w:tc>
        <w:tc>
          <w:tcPr>
            <w:tcW w:type="dxa" w:w="3300"/>
            <w:tcMar>
              <w:top w:type="dxa" w:w="50"/>
              <w:left w:type="dxa" w:w="120"/>
              <w:bottom w:type="dxa" w:w="5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A Christmas Carol: plot, characters and context</w:t>
            </w:r>
          </w:p>
        </w:tc>
        <w:tc>
          <w:tcPr>
            <w:tcW w:type="dxa" w:w="3866"/>
            <w:tcMar>
              <w:top w:type="dxa" w:w="50"/>
              <w:left w:type="dxa" w:w="120"/>
              <w:bottom w:type="dxa" w:w="5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Retell the five staves; revise the Poor Law, Malthus and Dickens’s purpose.</w:t>
            </w:r>
          </w:p>
        </w:tc>
        <w:tc>
          <w:tcPr>
            <w:tcW w:type="dxa" w:w="1900"/>
            <w:tcMar>
              <w:top w:type="dxa" w:w="50"/>
              <w:left w:type="dxa" w:w="120"/>
              <w:bottom w:type="dxa" w:w="5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sz w:val="20"/>
                <w:szCs w:val="20"/>
                <w:bdr w:val="single" w:color="6E44A8" w:sz="8" w:space="0"/>
              </w:rPr>
              <w:t xml:space="preserve">    </w:t>
            </w:r>
            <w:r>
              <w:rPr>
                <w:sz w:val="22"/>
                <w:szCs w:val="22"/>
              </w:rPr>
              <w:t xml:space="preserve">   </w:t>
            </w:r>
            <w:r>
              <w:rPr>
                <w:sz w:val="20"/>
                <w:szCs w:val="20"/>
                <w:bdr w:val="single" w:color="6E44A8" w:sz="8" w:space="0"/>
              </w:rPr>
              <w:t xml:space="preserve">    </w:t>
            </w:r>
            <w:r>
              <w:rPr>
                <w:sz w:val="22"/>
                <w:szCs w:val="22"/>
              </w:rPr>
              <w:t xml:space="preserve">   </w:t>
            </w:r>
            <w:r>
              <w:rPr>
                <w:sz w:val="20"/>
                <w:szCs w:val="20"/>
                <w:bdr w:val="single" w:color="6E44A8" w:sz="8" w:space="0"/>
              </w:rPr>
              <w:t xml:space="preserve">    </w:t>
            </w:r>
            <w:r>
              <w:rPr>
                <w:sz w:val="22"/>
                <w:szCs w:val="22"/>
              </w:rPr>
              <w:t xml:space="preserve">   </w:t>
            </w:r>
            <w:r>
              <w:rPr>
                <w:sz w:val="20"/>
                <w:szCs w:val="20"/>
                <w:bdr w:val="single" w:color="6E44A8" w:sz="8" w:space="0"/>
              </w:rPr>
              <w:t xml:space="preserve">    </w:t>
            </w:r>
            <w:r>
              <w:rPr>
                <w:sz w:val="22"/>
                <w:szCs w:val="22"/>
              </w:rPr>
              <w:t xml:space="preserve">   </w:t>
            </w:r>
            <w:r>
              <w:rPr>
                <w:sz w:val="20"/>
                <w:szCs w:val="20"/>
                <w:bdr w:val="single" w:color="6E44A8" w:sz="8" w:space="0"/>
              </w:rPr>
              <w:t xml:space="preserve">    </w:t>
            </w:r>
            <w:r>
              <w:rPr>
                <w:sz w:val="22"/>
                <w:szCs w:val="22"/>
              </w:rPr>
              <w:t xml:space="preserve">   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50"/>
              <w:left w:type="dxa" w:w="120"/>
              <w:bottom w:type="dxa" w:w="5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6E44A8"/>
                <w:sz w:val="24"/>
                <w:szCs w:val="24"/>
              </w:rPr>
              <w:t xml:space="preserve">9</w:t>
            </w:r>
          </w:p>
        </w:tc>
        <w:tc>
          <w:tcPr>
            <w:tcW w:type="dxa" w:w="3300"/>
            <w:tcMar>
              <w:top w:type="dxa" w:w="50"/>
              <w:left w:type="dxa" w:w="120"/>
              <w:bottom w:type="dxa" w:w="5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A Christmas Carol: themes and quotations</w:t>
            </w:r>
          </w:p>
        </w:tc>
        <w:tc>
          <w:tcPr>
            <w:tcW w:type="dxa" w:w="3866"/>
            <w:tcMar>
              <w:top w:type="dxa" w:w="50"/>
              <w:left w:type="dxa" w:w="120"/>
              <w:bottom w:type="dxa" w:w="5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Learn ten quotations; write one timed extract-to-whole essay.</w:t>
            </w:r>
          </w:p>
        </w:tc>
        <w:tc>
          <w:tcPr>
            <w:tcW w:type="dxa" w:w="1900"/>
            <w:tcMar>
              <w:top w:type="dxa" w:w="50"/>
              <w:left w:type="dxa" w:w="120"/>
              <w:bottom w:type="dxa" w:w="5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sz w:val="20"/>
                <w:szCs w:val="20"/>
                <w:bdr w:val="single" w:color="6E44A8" w:sz="8" w:space="0"/>
              </w:rPr>
              <w:t xml:space="preserve">    </w:t>
            </w:r>
            <w:r>
              <w:rPr>
                <w:sz w:val="22"/>
                <w:szCs w:val="22"/>
              </w:rPr>
              <w:t xml:space="preserve">   </w:t>
            </w:r>
            <w:r>
              <w:rPr>
                <w:sz w:val="20"/>
                <w:szCs w:val="20"/>
                <w:bdr w:val="single" w:color="6E44A8" w:sz="8" w:space="0"/>
              </w:rPr>
              <w:t xml:space="preserve">    </w:t>
            </w:r>
            <w:r>
              <w:rPr>
                <w:sz w:val="22"/>
                <w:szCs w:val="22"/>
              </w:rPr>
              <w:t xml:space="preserve">   </w:t>
            </w:r>
            <w:r>
              <w:rPr>
                <w:sz w:val="20"/>
                <w:szCs w:val="20"/>
                <w:bdr w:val="single" w:color="6E44A8" w:sz="8" w:space="0"/>
              </w:rPr>
              <w:t xml:space="preserve">    </w:t>
            </w:r>
            <w:r>
              <w:rPr>
                <w:sz w:val="22"/>
                <w:szCs w:val="22"/>
              </w:rPr>
              <w:t xml:space="preserve">   </w:t>
            </w:r>
            <w:r>
              <w:rPr>
                <w:sz w:val="20"/>
                <w:szCs w:val="20"/>
                <w:bdr w:val="single" w:color="6E44A8" w:sz="8" w:space="0"/>
              </w:rPr>
              <w:t xml:space="preserve">    </w:t>
            </w:r>
            <w:r>
              <w:rPr>
                <w:sz w:val="22"/>
                <w:szCs w:val="22"/>
              </w:rPr>
              <w:t xml:space="preserve">   </w:t>
            </w:r>
            <w:r>
              <w:rPr>
                <w:sz w:val="20"/>
                <w:szCs w:val="20"/>
                <w:bdr w:val="single" w:color="6E44A8" w:sz="8" w:space="0"/>
              </w:rPr>
              <w:t xml:space="preserve">    </w:t>
            </w:r>
            <w:r>
              <w:rPr>
                <w:sz w:val="22"/>
                <w:szCs w:val="22"/>
              </w:rPr>
              <w:t xml:space="preserve">   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50"/>
              <w:left w:type="dxa" w:w="120"/>
              <w:bottom w:type="dxa" w:w="5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6E44A8"/>
                <w:sz w:val="24"/>
                <w:szCs w:val="24"/>
              </w:rPr>
              <w:t xml:space="preserve">8</w:t>
            </w:r>
          </w:p>
        </w:tc>
        <w:tc>
          <w:tcPr>
            <w:tcW w:type="dxa" w:w="3300"/>
            <w:tcMar>
              <w:top w:type="dxa" w:w="50"/>
              <w:left w:type="dxa" w:w="120"/>
              <w:bottom w:type="dxa" w:w="5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An Inspector Calls: plot, characters and context</w:t>
            </w:r>
          </w:p>
        </w:tc>
        <w:tc>
          <w:tcPr>
            <w:tcW w:type="dxa" w:w="3866"/>
            <w:tcMar>
              <w:top w:type="dxa" w:w="50"/>
              <w:left w:type="dxa" w:w="120"/>
              <w:bottom w:type="dxa" w:w="5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Retell the play; revise 1912 and 1945, class, age and gender.</w:t>
            </w:r>
          </w:p>
        </w:tc>
        <w:tc>
          <w:tcPr>
            <w:tcW w:type="dxa" w:w="1900"/>
            <w:tcMar>
              <w:top w:type="dxa" w:w="50"/>
              <w:left w:type="dxa" w:w="120"/>
              <w:bottom w:type="dxa" w:w="5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sz w:val="20"/>
                <w:szCs w:val="20"/>
                <w:bdr w:val="single" w:color="6E44A8" w:sz="8" w:space="0"/>
              </w:rPr>
              <w:t xml:space="preserve">    </w:t>
            </w:r>
            <w:r>
              <w:rPr>
                <w:sz w:val="22"/>
                <w:szCs w:val="22"/>
              </w:rPr>
              <w:t xml:space="preserve">   </w:t>
            </w:r>
            <w:r>
              <w:rPr>
                <w:sz w:val="20"/>
                <w:szCs w:val="20"/>
                <w:bdr w:val="single" w:color="6E44A8" w:sz="8" w:space="0"/>
              </w:rPr>
              <w:t xml:space="preserve">    </w:t>
            </w:r>
            <w:r>
              <w:rPr>
                <w:sz w:val="22"/>
                <w:szCs w:val="22"/>
              </w:rPr>
              <w:t xml:space="preserve">   </w:t>
            </w:r>
            <w:r>
              <w:rPr>
                <w:sz w:val="20"/>
                <w:szCs w:val="20"/>
                <w:bdr w:val="single" w:color="6E44A8" w:sz="8" w:space="0"/>
              </w:rPr>
              <w:t xml:space="preserve">    </w:t>
            </w:r>
            <w:r>
              <w:rPr>
                <w:sz w:val="22"/>
                <w:szCs w:val="22"/>
              </w:rPr>
              <w:t xml:space="preserve">   </w:t>
            </w:r>
            <w:r>
              <w:rPr>
                <w:sz w:val="20"/>
                <w:szCs w:val="20"/>
                <w:bdr w:val="single" w:color="6E44A8" w:sz="8" w:space="0"/>
              </w:rPr>
              <w:t xml:space="preserve">    </w:t>
            </w:r>
            <w:r>
              <w:rPr>
                <w:sz w:val="22"/>
                <w:szCs w:val="22"/>
              </w:rPr>
              <w:t xml:space="preserve">   </w:t>
            </w:r>
            <w:r>
              <w:rPr>
                <w:sz w:val="20"/>
                <w:szCs w:val="20"/>
                <w:bdr w:val="single" w:color="6E44A8" w:sz="8" w:space="0"/>
              </w:rPr>
              <w:t xml:space="preserve">    </w:t>
            </w:r>
            <w:r>
              <w:rPr>
                <w:sz w:val="22"/>
                <w:szCs w:val="22"/>
              </w:rPr>
              <w:t xml:space="preserve">   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50"/>
              <w:left w:type="dxa" w:w="120"/>
              <w:bottom w:type="dxa" w:w="5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6E44A8"/>
                <w:sz w:val="24"/>
                <w:szCs w:val="24"/>
              </w:rPr>
              <w:t xml:space="preserve">7</w:t>
            </w:r>
          </w:p>
        </w:tc>
        <w:tc>
          <w:tcPr>
            <w:tcW w:type="dxa" w:w="3300"/>
            <w:tcMar>
              <w:top w:type="dxa" w:w="50"/>
              <w:left w:type="dxa" w:w="120"/>
              <w:bottom w:type="dxa" w:w="5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An Inspector Calls: themes and quotations</w:t>
            </w:r>
          </w:p>
        </w:tc>
        <w:tc>
          <w:tcPr>
            <w:tcW w:type="dxa" w:w="3866"/>
            <w:tcMar>
              <w:top w:type="dxa" w:w="50"/>
              <w:left w:type="dxa" w:w="120"/>
              <w:bottom w:type="dxa" w:w="5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Learn ten quotations; write one timed essay.</w:t>
            </w:r>
          </w:p>
        </w:tc>
        <w:tc>
          <w:tcPr>
            <w:tcW w:type="dxa" w:w="1900"/>
            <w:tcMar>
              <w:top w:type="dxa" w:w="50"/>
              <w:left w:type="dxa" w:w="120"/>
              <w:bottom w:type="dxa" w:w="5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sz w:val="20"/>
                <w:szCs w:val="20"/>
                <w:bdr w:val="single" w:color="6E44A8" w:sz="8" w:space="0"/>
              </w:rPr>
              <w:t xml:space="preserve">    </w:t>
            </w:r>
            <w:r>
              <w:rPr>
                <w:sz w:val="22"/>
                <w:szCs w:val="22"/>
              </w:rPr>
              <w:t xml:space="preserve">   </w:t>
            </w:r>
            <w:r>
              <w:rPr>
                <w:sz w:val="20"/>
                <w:szCs w:val="20"/>
                <w:bdr w:val="single" w:color="6E44A8" w:sz="8" w:space="0"/>
              </w:rPr>
              <w:t xml:space="preserve">    </w:t>
            </w:r>
            <w:r>
              <w:rPr>
                <w:sz w:val="22"/>
                <w:szCs w:val="22"/>
              </w:rPr>
              <w:t xml:space="preserve">   </w:t>
            </w:r>
            <w:r>
              <w:rPr>
                <w:sz w:val="20"/>
                <w:szCs w:val="20"/>
                <w:bdr w:val="single" w:color="6E44A8" w:sz="8" w:space="0"/>
              </w:rPr>
              <w:t xml:space="preserve">    </w:t>
            </w:r>
            <w:r>
              <w:rPr>
                <w:sz w:val="22"/>
                <w:szCs w:val="22"/>
              </w:rPr>
              <w:t xml:space="preserve">   </w:t>
            </w:r>
            <w:r>
              <w:rPr>
                <w:sz w:val="20"/>
                <w:szCs w:val="20"/>
                <w:bdr w:val="single" w:color="6E44A8" w:sz="8" w:space="0"/>
              </w:rPr>
              <w:t xml:space="preserve">    </w:t>
            </w:r>
            <w:r>
              <w:rPr>
                <w:sz w:val="22"/>
                <w:szCs w:val="22"/>
              </w:rPr>
              <w:t xml:space="preserve">   </w:t>
            </w:r>
            <w:r>
              <w:rPr>
                <w:sz w:val="20"/>
                <w:szCs w:val="20"/>
                <w:bdr w:val="single" w:color="6E44A8" w:sz="8" w:space="0"/>
              </w:rPr>
              <w:t xml:space="preserve">    </w:t>
            </w:r>
            <w:r>
              <w:rPr>
                <w:sz w:val="22"/>
                <w:szCs w:val="22"/>
              </w:rPr>
              <w:t xml:space="preserve">   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50"/>
              <w:left w:type="dxa" w:w="120"/>
              <w:bottom w:type="dxa" w:w="5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6E44A8"/>
                <w:sz w:val="24"/>
                <w:szCs w:val="24"/>
              </w:rPr>
              <w:t xml:space="preserve">6</w:t>
            </w:r>
          </w:p>
        </w:tc>
        <w:tc>
          <w:tcPr>
            <w:tcW w:type="dxa" w:w="3300"/>
            <w:tcMar>
              <w:top w:type="dxa" w:w="50"/>
              <w:left w:type="dxa" w:w="120"/>
              <w:bottom w:type="dxa" w:w="5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Power and Conflict: the first eight poems</w:t>
            </w:r>
          </w:p>
        </w:tc>
        <w:tc>
          <w:tcPr>
            <w:tcW w:type="dxa" w:w="3866"/>
            <w:tcMar>
              <w:top w:type="dxa" w:w="50"/>
              <w:left w:type="dxa" w:w="120"/>
              <w:bottom w:type="dxa" w:w="5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One poem a day: its context, three quotations and one method each.</w:t>
            </w:r>
          </w:p>
        </w:tc>
        <w:tc>
          <w:tcPr>
            <w:tcW w:type="dxa" w:w="1900"/>
            <w:tcMar>
              <w:top w:type="dxa" w:w="50"/>
              <w:left w:type="dxa" w:w="120"/>
              <w:bottom w:type="dxa" w:w="5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sz w:val="20"/>
                <w:szCs w:val="20"/>
                <w:bdr w:val="single" w:color="6E44A8" w:sz="8" w:space="0"/>
              </w:rPr>
              <w:t xml:space="preserve">    </w:t>
            </w:r>
            <w:r>
              <w:rPr>
                <w:sz w:val="22"/>
                <w:szCs w:val="22"/>
              </w:rPr>
              <w:t xml:space="preserve">   </w:t>
            </w:r>
            <w:r>
              <w:rPr>
                <w:sz w:val="20"/>
                <w:szCs w:val="20"/>
                <w:bdr w:val="single" w:color="6E44A8" w:sz="8" w:space="0"/>
              </w:rPr>
              <w:t xml:space="preserve">    </w:t>
            </w:r>
            <w:r>
              <w:rPr>
                <w:sz w:val="22"/>
                <w:szCs w:val="22"/>
              </w:rPr>
              <w:t xml:space="preserve">   </w:t>
            </w:r>
            <w:r>
              <w:rPr>
                <w:sz w:val="20"/>
                <w:szCs w:val="20"/>
                <w:bdr w:val="single" w:color="6E44A8" w:sz="8" w:space="0"/>
              </w:rPr>
              <w:t xml:space="preserve">    </w:t>
            </w:r>
            <w:r>
              <w:rPr>
                <w:sz w:val="22"/>
                <w:szCs w:val="22"/>
              </w:rPr>
              <w:t xml:space="preserve">   </w:t>
            </w:r>
            <w:r>
              <w:rPr>
                <w:sz w:val="20"/>
                <w:szCs w:val="20"/>
                <w:bdr w:val="single" w:color="6E44A8" w:sz="8" w:space="0"/>
              </w:rPr>
              <w:t xml:space="preserve">    </w:t>
            </w:r>
            <w:r>
              <w:rPr>
                <w:sz w:val="22"/>
                <w:szCs w:val="22"/>
              </w:rPr>
              <w:t xml:space="preserve">   </w:t>
            </w:r>
            <w:r>
              <w:rPr>
                <w:sz w:val="20"/>
                <w:szCs w:val="20"/>
                <w:bdr w:val="single" w:color="6E44A8" w:sz="8" w:space="0"/>
              </w:rPr>
              <w:t xml:space="preserve">    </w:t>
            </w:r>
            <w:r>
              <w:rPr>
                <w:sz w:val="22"/>
                <w:szCs w:val="22"/>
              </w:rPr>
              <w:t xml:space="preserve">   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50"/>
              <w:left w:type="dxa" w:w="120"/>
              <w:bottom w:type="dxa" w:w="5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6E44A8"/>
                <w:sz w:val="24"/>
                <w:szCs w:val="24"/>
              </w:rPr>
              <w:t xml:space="preserve">5</w:t>
            </w:r>
          </w:p>
        </w:tc>
        <w:tc>
          <w:tcPr>
            <w:tcW w:type="dxa" w:w="3300"/>
            <w:tcMar>
              <w:top w:type="dxa" w:w="50"/>
              <w:left w:type="dxa" w:w="120"/>
              <w:bottom w:type="dxa" w:w="5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Power and Conflict: the last seven poems and comparison</w:t>
            </w:r>
          </w:p>
        </w:tc>
        <w:tc>
          <w:tcPr>
            <w:tcW w:type="dxa" w:w="3866"/>
            <w:tcMar>
              <w:top w:type="dxa" w:w="50"/>
              <w:left w:type="dxa" w:w="120"/>
              <w:bottom w:type="dxa" w:w="5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Finish the anthology; plan three comparisons that pair poems by theme.</w:t>
            </w:r>
          </w:p>
        </w:tc>
        <w:tc>
          <w:tcPr>
            <w:tcW w:type="dxa" w:w="1900"/>
            <w:tcMar>
              <w:top w:type="dxa" w:w="50"/>
              <w:left w:type="dxa" w:w="120"/>
              <w:bottom w:type="dxa" w:w="5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sz w:val="20"/>
                <w:szCs w:val="20"/>
                <w:bdr w:val="single" w:color="6E44A8" w:sz="8" w:space="0"/>
              </w:rPr>
              <w:t xml:space="preserve">    </w:t>
            </w:r>
            <w:r>
              <w:rPr>
                <w:sz w:val="22"/>
                <w:szCs w:val="22"/>
              </w:rPr>
              <w:t xml:space="preserve">   </w:t>
            </w:r>
            <w:r>
              <w:rPr>
                <w:sz w:val="20"/>
                <w:szCs w:val="20"/>
                <w:bdr w:val="single" w:color="6E44A8" w:sz="8" w:space="0"/>
              </w:rPr>
              <w:t xml:space="preserve">    </w:t>
            </w:r>
            <w:r>
              <w:rPr>
                <w:sz w:val="22"/>
                <w:szCs w:val="22"/>
              </w:rPr>
              <w:t xml:space="preserve">   </w:t>
            </w:r>
            <w:r>
              <w:rPr>
                <w:sz w:val="20"/>
                <w:szCs w:val="20"/>
                <w:bdr w:val="single" w:color="6E44A8" w:sz="8" w:space="0"/>
              </w:rPr>
              <w:t xml:space="preserve">    </w:t>
            </w:r>
            <w:r>
              <w:rPr>
                <w:sz w:val="22"/>
                <w:szCs w:val="22"/>
              </w:rPr>
              <w:t xml:space="preserve">   </w:t>
            </w:r>
            <w:r>
              <w:rPr>
                <w:sz w:val="20"/>
                <w:szCs w:val="20"/>
                <w:bdr w:val="single" w:color="6E44A8" w:sz="8" w:space="0"/>
              </w:rPr>
              <w:t xml:space="preserve">    </w:t>
            </w:r>
            <w:r>
              <w:rPr>
                <w:sz w:val="22"/>
                <w:szCs w:val="22"/>
              </w:rPr>
              <w:t xml:space="preserve">   </w:t>
            </w:r>
            <w:r>
              <w:rPr>
                <w:sz w:val="20"/>
                <w:szCs w:val="20"/>
                <w:bdr w:val="single" w:color="6E44A8" w:sz="8" w:space="0"/>
              </w:rPr>
              <w:t xml:space="preserve">    </w:t>
            </w:r>
            <w:r>
              <w:rPr>
                <w:sz w:val="22"/>
                <w:szCs w:val="22"/>
              </w:rPr>
              <w:t xml:space="preserve">   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50"/>
              <w:left w:type="dxa" w:w="120"/>
              <w:bottom w:type="dxa" w:w="5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6E44A8"/>
                <w:sz w:val="24"/>
                <w:szCs w:val="24"/>
              </w:rPr>
              <w:t xml:space="preserve">4</w:t>
            </w:r>
          </w:p>
        </w:tc>
        <w:tc>
          <w:tcPr>
            <w:tcW w:type="dxa" w:w="3300"/>
            <w:tcMar>
              <w:top w:type="dxa" w:w="50"/>
              <w:left w:type="dxa" w:w="120"/>
              <w:bottom w:type="dxa" w:w="5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Unseen poetry</w:t>
            </w:r>
          </w:p>
        </w:tc>
        <w:tc>
          <w:tcPr>
            <w:tcW w:type="dxa" w:w="3866"/>
            <w:tcMar>
              <w:top w:type="dxa" w:w="50"/>
              <w:left w:type="dxa" w:w="120"/>
              <w:bottom w:type="dxa" w:w="5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Practise the single-poem question and the comparison question on new poems.</w:t>
            </w:r>
          </w:p>
        </w:tc>
        <w:tc>
          <w:tcPr>
            <w:tcW w:type="dxa" w:w="1900"/>
            <w:tcMar>
              <w:top w:type="dxa" w:w="50"/>
              <w:left w:type="dxa" w:w="120"/>
              <w:bottom w:type="dxa" w:w="5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sz w:val="20"/>
                <w:szCs w:val="20"/>
                <w:bdr w:val="single" w:color="6E44A8" w:sz="8" w:space="0"/>
              </w:rPr>
              <w:t xml:space="preserve">    </w:t>
            </w:r>
            <w:r>
              <w:rPr>
                <w:sz w:val="22"/>
                <w:szCs w:val="22"/>
              </w:rPr>
              <w:t xml:space="preserve">   </w:t>
            </w:r>
            <w:r>
              <w:rPr>
                <w:sz w:val="20"/>
                <w:szCs w:val="20"/>
                <w:bdr w:val="single" w:color="6E44A8" w:sz="8" w:space="0"/>
              </w:rPr>
              <w:t xml:space="preserve">    </w:t>
            </w:r>
            <w:r>
              <w:rPr>
                <w:sz w:val="22"/>
                <w:szCs w:val="22"/>
              </w:rPr>
              <w:t xml:space="preserve">   </w:t>
            </w:r>
            <w:r>
              <w:rPr>
                <w:sz w:val="20"/>
                <w:szCs w:val="20"/>
                <w:bdr w:val="single" w:color="6E44A8" w:sz="8" w:space="0"/>
              </w:rPr>
              <w:t xml:space="preserve">    </w:t>
            </w:r>
            <w:r>
              <w:rPr>
                <w:sz w:val="22"/>
                <w:szCs w:val="22"/>
              </w:rPr>
              <w:t xml:space="preserve">   </w:t>
            </w:r>
            <w:r>
              <w:rPr>
                <w:sz w:val="20"/>
                <w:szCs w:val="20"/>
                <w:bdr w:val="single" w:color="6E44A8" w:sz="8" w:space="0"/>
              </w:rPr>
              <w:t xml:space="preserve">    </w:t>
            </w:r>
            <w:r>
              <w:rPr>
                <w:sz w:val="22"/>
                <w:szCs w:val="22"/>
              </w:rPr>
              <w:t xml:space="preserve">   </w:t>
            </w:r>
            <w:r>
              <w:rPr>
                <w:sz w:val="20"/>
                <w:szCs w:val="20"/>
                <w:bdr w:val="single" w:color="6E44A8" w:sz="8" w:space="0"/>
              </w:rPr>
              <w:t xml:space="preserve">    </w:t>
            </w:r>
            <w:r>
              <w:rPr>
                <w:sz w:val="22"/>
                <w:szCs w:val="22"/>
              </w:rPr>
              <w:t xml:space="preserve">   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50"/>
              <w:left w:type="dxa" w:w="120"/>
              <w:bottom w:type="dxa" w:w="5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6E44A8"/>
                <w:sz w:val="24"/>
                <w:szCs w:val="24"/>
              </w:rPr>
              <w:t xml:space="preserve">3</w:t>
            </w:r>
          </w:p>
        </w:tc>
        <w:tc>
          <w:tcPr>
            <w:tcW w:type="dxa" w:w="3300"/>
            <w:tcMar>
              <w:top w:type="dxa" w:w="50"/>
              <w:left w:type="dxa" w:w="120"/>
              <w:bottom w:type="dxa" w:w="5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Language Paper 1</w:t>
            </w:r>
          </w:p>
        </w:tc>
        <w:tc>
          <w:tcPr>
            <w:tcW w:type="dxa" w:w="3866"/>
            <w:tcMar>
              <w:top w:type="dxa" w:w="50"/>
              <w:left w:type="dxa" w:w="120"/>
              <w:bottom w:type="dxa" w:w="5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Reading questions 1 to 4 on a fiction extract; one descriptive or narrative piece.</w:t>
            </w:r>
          </w:p>
        </w:tc>
        <w:tc>
          <w:tcPr>
            <w:tcW w:type="dxa" w:w="1900"/>
            <w:tcMar>
              <w:top w:type="dxa" w:w="50"/>
              <w:left w:type="dxa" w:w="120"/>
              <w:bottom w:type="dxa" w:w="5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sz w:val="20"/>
                <w:szCs w:val="20"/>
                <w:bdr w:val="single" w:color="6E44A8" w:sz="8" w:space="0"/>
              </w:rPr>
              <w:t xml:space="preserve">    </w:t>
            </w:r>
            <w:r>
              <w:rPr>
                <w:sz w:val="22"/>
                <w:szCs w:val="22"/>
              </w:rPr>
              <w:t xml:space="preserve">   </w:t>
            </w:r>
            <w:r>
              <w:rPr>
                <w:sz w:val="20"/>
                <w:szCs w:val="20"/>
                <w:bdr w:val="single" w:color="6E44A8" w:sz="8" w:space="0"/>
              </w:rPr>
              <w:t xml:space="preserve">    </w:t>
            </w:r>
            <w:r>
              <w:rPr>
                <w:sz w:val="22"/>
                <w:szCs w:val="22"/>
              </w:rPr>
              <w:t xml:space="preserve">   </w:t>
            </w:r>
            <w:r>
              <w:rPr>
                <w:sz w:val="20"/>
                <w:szCs w:val="20"/>
                <w:bdr w:val="single" w:color="6E44A8" w:sz="8" w:space="0"/>
              </w:rPr>
              <w:t xml:space="preserve">    </w:t>
            </w:r>
            <w:r>
              <w:rPr>
                <w:sz w:val="22"/>
                <w:szCs w:val="22"/>
              </w:rPr>
              <w:t xml:space="preserve">   </w:t>
            </w:r>
            <w:r>
              <w:rPr>
                <w:sz w:val="20"/>
                <w:szCs w:val="20"/>
                <w:bdr w:val="single" w:color="6E44A8" w:sz="8" w:space="0"/>
              </w:rPr>
              <w:t xml:space="preserve">    </w:t>
            </w:r>
            <w:r>
              <w:rPr>
                <w:sz w:val="22"/>
                <w:szCs w:val="22"/>
              </w:rPr>
              <w:t xml:space="preserve">   </w:t>
            </w:r>
            <w:r>
              <w:rPr>
                <w:sz w:val="20"/>
                <w:szCs w:val="20"/>
                <w:bdr w:val="single" w:color="6E44A8" w:sz="8" w:space="0"/>
              </w:rPr>
              <w:t xml:space="preserve">    </w:t>
            </w:r>
            <w:r>
              <w:rPr>
                <w:sz w:val="22"/>
                <w:szCs w:val="22"/>
              </w:rPr>
              <w:t xml:space="preserve">   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50"/>
              <w:left w:type="dxa" w:w="120"/>
              <w:bottom w:type="dxa" w:w="5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6E44A8"/>
                <w:sz w:val="24"/>
                <w:szCs w:val="24"/>
              </w:rPr>
              <w:t xml:space="preserve">2</w:t>
            </w:r>
          </w:p>
        </w:tc>
        <w:tc>
          <w:tcPr>
            <w:tcW w:type="dxa" w:w="3300"/>
            <w:tcMar>
              <w:top w:type="dxa" w:w="50"/>
              <w:left w:type="dxa" w:w="120"/>
              <w:bottom w:type="dxa" w:w="5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Language Paper 2</w:t>
            </w:r>
          </w:p>
        </w:tc>
        <w:tc>
          <w:tcPr>
            <w:tcW w:type="dxa" w:w="3866"/>
            <w:tcMar>
              <w:top w:type="dxa" w:w="50"/>
              <w:left w:type="dxa" w:w="120"/>
              <w:bottom w:type="dxa" w:w="5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Reading questions 1 to 4 on two non-fiction sources; one viewpoint piece.</w:t>
            </w:r>
          </w:p>
        </w:tc>
        <w:tc>
          <w:tcPr>
            <w:tcW w:type="dxa" w:w="1900"/>
            <w:tcMar>
              <w:top w:type="dxa" w:w="50"/>
              <w:left w:type="dxa" w:w="120"/>
              <w:bottom w:type="dxa" w:w="5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sz w:val="20"/>
                <w:szCs w:val="20"/>
                <w:bdr w:val="single" w:color="6E44A8" w:sz="8" w:space="0"/>
              </w:rPr>
              <w:t xml:space="preserve">    </w:t>
            </w:r>
            <w:r>
              <w:rPr>
                <w:sz w:val="22"/>
                <w:szCs w:val="22"/>
              </w:rPr>
              <w:t xml:space="preserve">   </w:t>
            </w:r>
            <w:r>
              <w:rPr>
                <w:sz w:val="20"/>
                <w:szCs w:val="20"/>
                <w:bdr w:val="single" w:color="6E44A8" w:sz="8" w:space="0"/>
              </w:rPr>
              <w:t xml:space="preserve">    </w:t>
            </w:r>
            <w:r>
              <w:rPr>
                <w:sz w:val="22"/>
                <w:szCs w:val="22"/>
              </w:rPr>
              <w:t xml:space="preserve">   </w:t>
            </w:r>
            <w:r>
              <w:rPr>
                <w:sz w:val="20"/>
                <w:szCs w:val="20"/>
                <w:bdr w:val="single" w:color="6E44A8" w:sz="8" w:space="0"/>
              </w:rPr>
              <w:t xml:space="preserve">    </w:t>
            </w:r>
            <w:r>
              <w:rPr>
                <w:sz w:val="22"/>
                <w:szCs w:val="22"/>
              </w:rPr>
              <w:t xml:space="preserve">   </w:t>
            </w:r>
            <w:r>
              <w:rPr>
                <w:sz w:val="20"/>
                <w:szCs w:val="20"/>
                <w:bdr w:val="single" w:color="6E44A8" w:sz="8" w:space="0"/>
              </w:rPr>
              <w:t xml:space="preserve">    </w:t>
            </w:r>
            <w:r>
              <w:rPr>
                <w:sz w:val="22"/>
                <w:szCs w:val="22"/>
              </w:rPr>
              <w:t xml:space="preserve">   </w:t>
            </w:r>
            <w:r>
              <w:rPr>
                <w:sz w:val="20"/>
                <w:szCs w:val="20"/>
                <w:bdr w:val="single" w:color="6E44A8" w:sz="8" w:space="0"/>
              </w:rPr>
              <w:t xml:space="preserve">    </w:t>
            </w:r>
            <w:r>
              <w:rPr>
                <w:sz w:val="22"/>
                <w:szCs w:val="22"/>
              </w:rPr>
              <w:t xml:space="preserve">   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50"/>
              <w:left w:type="dxa" w:w="120"/>
              <w:bottom w:type="dxa" w:w="5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6E44A8"/>
                <w:sz w:val="24"/>
                <w:szCs w:val="24"/>
              </w:rPr>
              <w:t xml:space="preserve">1</w:t>
            </w:r>
          </w:p>
        </w:tc>
        <w:tc>
          <w:tcPr>
            <w:tcW w:type="dxa" w:w="3300"/>
            <w:tcMar>
              <w:top w:type="dxa" w:w="50"/>
              <w:left w:type="dxa" w:w="120"/>
              <w:bottom w:type="dxa" w:w="5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Final week</w:t>
            </w:r>
          </w:p>
        </w:tc>
        <w:tc>
          <w:tcPr>
            <w:tcW w:type="dxa" w:w="3866"/>
            <w:tcMar>
              <w:top w:type="dxa" w:w="50"/>
              <w:left w:type="dxa" w:w="120"/>
              <w:bottom w:type="dxa" w:w="5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Read through your notes and quotation lists, do short timed tasks only, and get plenty of sleep.</w:t>
            </w:r>
          </w:p>
        </w:tc>
        <w:tc>
          <w:tcPr>
            <w:tcW w:type="dxa" w:w="1900"/>
            <w:tcMar>
              <w:top w:type="dxa" w:w="50"/>
              <w:left w:type="dxa" w:w="120"/>
              <w:bottom w:type="dxa" w:w="5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sz w:val="20"/>
                <w:szCs w:val="20"/>
                <w:bdr w:val="single" w:color="6E44A8" w:sz="8" w:space="0"/>
              </w:rPr>
              <w:t xml:space="preserve">    </w:t>
            </w:r>
            <w:r>
              <w:rPr>
                <w:sz w:val="22"/>
                <w:szCs w:val="22"/>
              </w:rPr>
              <w:t xml:space="preserve">   </w:t>
            </w:r>
            <w:r>
              <w:rPr>
                <w:sz w:val="20"/>
                <w:szCs w:val="20"/>
                <w:bdr w:val="single" w:color="6E44A8" w:sz="8" w:space="0"/>
              </w:rPr>
              <w:t xml:space="preserve">    </w:t>
            </w:r>
            <w:r>
              <w:rPr>
                <w:sz w:val="22"/>
                <w:szCs w:val="22"/>
              </w:rPr>
              <w:t xml:space="preserve">   </w:t>
            </w:r>
            <w:r>
              <w:rPr>
                <w:sz w:val="20"/>
                <w:szCs w:val="20"/>
                <w:bdr w:val="single" w:color="6E44A8" w:sz="8" w:space="0"/>
              </w:rPr>
              <w:t xml:space="preserve">    </w:t>
            </w:r>
            <w:r>
              <w:rPr>
                <w:sz w:val="22"/>
                <w:szCs w:val="22"/>
              </w:rPr>
              <w:t xml:space="preserve">   </w:t>
            </w:r>
            <w:r>
              <w:rPr>
                <w:sz w:val="20"/>
                <w:szCs w:val="20"/>
                <w:bdr w:val="single" w:color="6E44A8" w:sz="8" w:space="0"/>
              </w:rPr>
              <w:t xml:space="preserve">    </w:t>
            </w:r>
            <w:r>
              <w:rPr>
                <w:sz w:val="22"/>
                <w:szCs w:val="22"/>
              </w:rPr>
              <w:t xml:space="preserve">   </w:t>
            </w:r>
            <w:r>
              <w:rPr>
                <w:sz w:val="20"/>
                <w:szCs w:val="20"/>
                <w:bdr w:val="single" w:color="6E44A8" w:sz="8" w:space="0"/>
              </w:rPr>
              <w:t xml:space="preserve">    </w:t>
            </w:r>
            <w:r>
              <w:rPr>
                <w:sz w:val="22"/>
                <w:szCs w:val="22"/>
              </w:rPr>
              <w:t xml:space="preserve">   </w:t>
            </w:r>
          </w:p>
        </w:tc>
      </w:tr>
    </w:tbl>
    <w:p>
      <w:pPr>
        <w:pStyle w:val="Heading2"/>
      </w:pPr>
      <w:r>
        <w:t xml:space="preserve">The night before an English exam</w:t>
      </w:r>
    </w:p>
    <w:p>
      <w:pPr>
        <w:pStyle w:val="ListParagraph"/>
        <w:keepLines/>
        <w:numPr>
          <w:ilvl w:val="0"/>
          <w:numId w:val="2"/>
        </w:numPr>
        <w:spacing w:after="60"/>
      </w:pPr>
      <w:r>
        <w:t xml:space="preserve">Read through your quotation lists once. Leave new material alone.</w:t>
      </w:r>
    </w:p>
    <w:p>
      <w:pPr>
        <w:pStyle w:val="ListParagraph"/>
        <w:keepLines/>
        <w:numPr>
          <w:ilvl w:val="0"/>
          <w:numId w:val="2"/>
        </w:numPr>
        <w:spacing w:after="60"/>
      </w:pPr>
      <w:r>
        <w:t xml:space="preserve">Pack black pens, a spare, a highlighter and a watch you are allowed to take in.</w:t>
      </w:r>
    </w:p>
    <w:p>
      <w:pPr>
        <w:pStyle w:val="ListParagraph"/>
        <w:keepLines/>
        <w:numPr>
          <w:ilvl w:val="0"/>
          <w:numId w:val="2"/>
        </w:numPr>
        <w:spacing w:after="60"/>
      </w:pPr>
      <w:r>
        <w:t xml:space="preserve">Remind yourself of the timings for each question on the paper.</w:t>
      </w:r>
    </w:p>
    <w:p>
      <w:pPr>
        <w:pStyle w:val="ListParagraph"/>
        <w:keepLines/>
        <w:numPr>
          <w:ilvl w:val="0"/>
          <w:numId w:val="2"/>
        </w:numPr>
        <w:spacing w:after="60"/>
      </w:pPr>
      <w:r>
        <w:t xml:space="preserve">Go to bed at your usual time.</w:t>
      </w:r>
    </w:p>
    <w:p>
      <w:pPr>
        <w:pStyle w:val="Heading3"/>
      </w:pPr>
      <w:r>
        <w:t xml:space="preserve">My exam timings</w:t>
      </w:r>
    </w:p>
    <w:tbl>
      <w:tblPr>
        <w:tblW w:type="dxa" w:w="9866"/>
        <w:tblBorders>
          <w:top w:val="single" w:color="DDD3E6" w:sz="4"/>
          <w:left w:val="single" w:color="DDD3E6" w:sz="4"/>
          <w:bottom w:val="single" w:color="DDD3E6" w:sz="4"/>
          <w:right w:val="single" w:color="DDD3E6" w:sz="4"/>
          <w:insideH w:val="single" w:color="DDD3E6" w:sz="4"/>
          <w:insideV w:val="single" w:color="DDD3E6" w:sz="4"/>
        </w:tblBorders>
        <w:tblLayout w:type="fixed"/>
      </w:tblPr>
      <w:tblGrid>
        <w:gridCol w:w="3300"/>
        <w:gridCol w:w="3300"/>
        <w:gridCol w:w="3266"/>
      </w:tblGrid>
      <w:tr>
        <w:trPr>
          <w:cantSplit/>
          <w:tblHeader/>
        </w:trPr>
        <w:tc>
          <w:tcPr>
            <w:tcW w:type="dxa" w:w="3300"/>
            <w:shd w:fill="4A2545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Paper</w:t>
            </w:r>
          </w:p>
        </w:tc>
        <w:tc>
          <w:tcPr>
            <w:tcW w:type="dxa" w:w="3300"/>
            <w:shd w:fill="4A2545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Question</w:t>
            </w:r>
          </w:p>
        </w:tc>
        <w:tc>
          <w:tcPr>
            <w:tcW w:type="dxa" w:w="3266"/>
            <w:shd w:fill="4A2545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Minutes</w:t>
            </w:r>
          </w:p>
        </w:tc>
      </w:tr>
      <w:tr>
        <w:trPr>
          <w:cantSplit/>
          <w:trHeight w:val="520" w:hRule="atLeast"/>
        </w:trPr>
        <w:tc>
          <w:tcPr>
            <w:tcW w:type="dxa" w:w="3300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type="dxa" w:w="3300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type="dxa" w:w="3266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/>
            </w:pPr>
            <w: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3300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type="dxa" w:w="3300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type="dxa" w:w="3266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/>
            </w:pPr>
            <w: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3300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type="dxa" w:w="3300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type="dxa" w:w="3266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/>
            </w:pPr>
            <w: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3300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type="dxa" w:w="3300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type="dxa" w:w="3266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/>
            </w:pPr>
            <w: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3300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type="dxa" w:w="3300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type="dxa" w:w="3266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/>
            </w:pPr>
            <w: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3300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type="dxa" w:w="3300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type="dxa" w:w="3266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/>
            </w:pPr>
            <w: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3300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type="dxa" w:w="3300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type="dxa" w:w="3266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/>
            </w:pPr>
            <w: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3300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type="dxa" w:w="3300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type="dxa" w:w="3266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/>
            </w:pPr>
            <w:r>
              <w:t xml:space="preserve"/>
            </w:r>
          </w:p>
        </w:tc>
      </w:tr>
    </w:tbl>
    <w:p>
      <w:pPr>
        <w:spacing w:before="200"/>
      </w:pPr>
      <w:r>
        <w:rPr>
          <w:color w:val="6B5A75"/>
          <w:sz w:val="18"/>
          <w:szCs w:val="18"/>
        </w:rPr>
        <w:t xml:space="preserve">© 2026. Free to use and print in your school.</w:t>
      </w:r>
    </w:p>
    <w:sectPr>
      <w:headerReference w:type="default" r:id="rId7"/>
      <w:headerReference w:type="first" r:id="rId8"/>
      <w:footerReference w:type="default" r:id="rId9"/>
      <w:footerReference w:type="first" r:id="rId10"/>
      <w:pgSz w:w="11906" w:h="16838" w:orient="portrait"/>
      <w:pgMar w:top="964" w:right="1020" w:bottom="540" w:left="1020" w:header="280" w:footer="320" w:gutter="0"/>
      <w:pgNumType/>
      <w:titlePg w:val="false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180" w:lineRule="exact"/>
      <w:jc w:val="right"/>
    </w:pPr>
    <w:r>
      <w:rPr>
        <w:color w:val="6B5A75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40" w:hanging="240"/>
      </w:pPr>
      <w:rPr>
        <w:color w:val="6E44A8"/>
      </w:rPr>
    </w:lvl>
    <w:lvl w:ilvl="1" w15:tentative="1">
      <w:start w:val="1"/>
      <w:numFmt w:val="bullet"/>
      <w:lvlText w:val="–"/>
      <w:lvlJc w:val="left"/>
      <w:pPr>
        <w:ind w:left="700" w:hanging="24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80" w:hanging="320"/>
      </w:pPr>
      <w:rPr>
        <w:b/>
        <w:bCs/>
        <w:color w:val="6E44A8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1122B"/>
        <w:sz w:val="23"/>
        <w:szCs w:val="23"/>
      </w:rPr>
    </w:rPrDefault>
    <w:pPrDefault>
      <w:pPr>
        <w:spacing w:after="120" w:line="276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keepLines/>
      <w:spacing w:after="160" w:before="0" w:line="252" w:lineRule="auto"/>
      <w:outlineLvl w:val="0"/>
    </w:pPr>
    <w:rPr>
      <w:rFonts w:ascii="Cambria" w:cs="Cambria" w:eastAsia="Cambria" w:hAnsi="Cambria"/>
      <w:b w:val="false"/>
      <w:bCs w:val="false"/>
      <w:color w:val="4A2545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keepLines/>
      <w:spacing w:after="110" w:before="280"/>
      <w:outlineLvl w:val="1"/>
    </w:pPr>
    <w:rPr>
      <w:rFonts w:ascii="Cambria" w:cs="Cambria" w:eastAsia="Cambria" w:hAnsi="Cambria"/>
      <w:b/>
      <w:bCs/>
      <w:color w:val="4A2545"/>
      <w:sz w:val="27"/>
      <w:szCs w:val="27"/>
    </w:rPr>
  </w:style>
  <w:style w:type="paragraph" w:styleId="Heading3">
    <w:name w:val="Heading 3"/>
    <w:basedOn w:val="Normal"/>
    <w:next w:val="Normal"/>
    <w:qFormat/>
    <w:pPr>
      <w:keepNext/>
      <w:keepLines/>
      <w:spacing w:after="80" w:before="200"/>
      <w:outlineLvl w:val="2"/>
    </w:pPr>
    <w:rPr>
      <w:rFonts w:ascii="Cambria" w:cs="Cambria" w:eastAsia="Cambria" w:hAnsi="Cambria"/>
      <w:b/>
      <w:bCs/>
      <w:color w:val="4A2545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11 countdown</dc:title>
  <cp:lastModifiedBy>Un-named</cp:lastModifiedBy>
  <cp:revision>1</cp:revision>
  <dcterms:created xsi:type="dcterms:W3CDTF">2026-10-04T15:35:53.123Z</dcterms:created>
  <dcterms:modified xsi:type="dcterms:W3CDTF">2026-10-04T15:35:53.123Z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